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碱性磷酸酶(ALP)检测试剂盒</w:t>
      </w:r>
    </w:p>
    <w:p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(磷酸苯二钠微板法)说明书</w:t>
      </w:r>
    </w:p>
    <w:p>
      <w:pPr>
        <w:pStyle w:val="2"/>
        <w:bidi w:val="0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产品简介：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碱性磷酸酶(Alkaline phosphatase，简称 ALP 或 AK P)为一类磷酸酯酶，广泛分布于哺乳动物组织内，其活性所需最适p H 9.2~9.8。此酶主要存在于物质交换活跃之处(细胞膜)，如肠上皮和肾近曲小管的刷状缘、附睾上皮之静纤毛、肝的毛细胆管膜以及微动脉和毛细血管动脉部之内皮，还见于内质网、高尔基复合体、吞饮小泡、肠上皮之溶酶体、中性粒细胞之中性颗粒以及平滑肌的细胞膜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碱性磷酸酶检测试剂盒(磷酸苯二钠微板法)(Alkaline Phosphatase Colori m etricAssay Kit)采用磷酸苯二钠比色法，其检测原理是磷酸苯二钠在碱性条件下，可在碱性磷酸酶的作用下生成游离酚和磷酸，在碱性条件下酚与氨基安替比林结合，并经氧化生成红色醌式结构物，呈深浅不一的红色，产物红色越深说明碱性磷酸酶活性越高，反之则酶活性越低，通过酶标仪测定 510n m 处吸光度，据此通过比色分析就可以计算出碱性磷酸酶活性水平。该试剂盒可用于检测细胞或组织的裂解液或匀浆液、血浆、血清等样品中内源性的碱性磷酸酶活性。该试剂盒仅用于科研领域，不宜用于临床诊断或其他用途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产品组成：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tbl>
      <w:tblPr>
        <w:tblStyle w:val="7"/>
        <w:tblW w:w="0" w:type="auto"/>
        <w:tblInd w:w="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7"/>
        <w:gridCol w:w="2110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ind w:firstLine="2400" w:firstLineChars="10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-4445</wp:posOffset>
                      </wp:positionV>
                      <wp:extent cx="2389505" cy="382905"/>
                      <wp:effectExtent l="635" t="4445" r="10160" b="1270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559560" y="4031615"/>
                                <a:ext cx="2389505" cy="382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-0.35pt;height:30.15pt;width:188.15pt;z-index:251660288;mso-width-relative:page;mso-height-relative:page;" filled="f" stroked="t" coordsize="21600,21600" o:gfxdata="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3lJkm1gAAAAgBAAAPAAAAAAAAAAEAIAAAACIAAABkcnMvZG93bnJldi54bWxQSwECFAAU&#10;AAAACACHTuJA/8Bvz/MBAADCAwAADgAAAAAAAAABACAAAAAlAQAAZHJzL2Uyb0RvYy54bWxQSwUG&#10;AAAAAAYABgBZAQAAigUAAAAA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编号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RC21783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100T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试剂(A): ALP Assay buffer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 ml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试剂(B): ALP 显色液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 ml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试剂(C): 显色基液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15 ml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试剂(D): Phen ol 标准(1 m g/ ml)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z w:val="24"/>
                <w:szCs w:val="24"/>
              </w:rPr>
              <w:t>ml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4℃ 避光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试剂(E): dd H2 O</w:t>
            </w:r>
          </w:p>
        </w:tc>
        <w:tc>
          <w:tcPr>
            <w:tcW w:w="211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ml</w:t>
            </w:r>
          </w:p>
        </w:tc>
        <w:tc>
          <w:tcPr>
            <w:tcW w:w="1895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R 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67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使用说明书</w:t>
            </w:r>
          </w:p>
        </w:tc>
        <w:tc>
          <w:tcPr>
            <w:tcW w:w="4005" w:type="dxa"/>
            <w:gridSpan w:val="2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1份</w:t>
            </w:r>
            <w:bookmarkEnd w:id="0"/>
          </w:p>
        </w:tc>
      </w:tr>
    </w:tbl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自备材料：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离心管或小试管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水浴锅或恒温箱 </w:t>
      </w:r>
    </w:p>
    <w:p>
      <w:pPr>
        <w:numPr>
          <w:numId w:val="0"/>
        </w:numPr>
        <w:ind w:left="120" w:left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3、96 孔板 </w:t>
      </w:r>
    </w:p>
    <w:p>
      <w:pPr>
        <w:numPr>
          <w:ilvl w:val="0"/>
          <w:numId w:val="1"/>
        </w:numPr>
        <w:ind w:left="120" w:leftChars="0" w:firstLine="0" w:firstLineChars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酶标仪</w:t>
      </w: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操作步骤</w:t>
      </w:r>
      <w:r>
        <w:rPr>
          <w:rFonts w:ascii="宋体" w:hAnsi="宋体" w:eastAsia="宋体" w:cs="宋体"/>
          <w:sz w:val="24"/>
          <w:szCs w:val="24"/>
        </w:rPr>
        <w:t>(仅供参考)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：</w:t>
      </w:r>
    </w:p>
    <w:p>
      <w:pPr>
        <w:widowControl w:val="0"/>
        <w:numPr>
          <w:ilvl w:val="0"/>
          <w:numId w:val="2"/>
        </w:numPr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准备样品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①细胞或组织样品：取恰当细胞或组织裂解液，如果有必要可用 PBS 或生理盐水进行适 当匀浆，一般细胞数量在 106以上，组织应在 100 m g 以上，3000 ~ 4000 g 离心取上清， -20℃冻存，用于碱性磷酸酶的检测。 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②血浆、血清和尿液样品：血浆、血清按照常规方法制备后可以直接用于本试剂盒的测 定，尿液通常也可以直接用于测定，-20℃冻存，但为了消除样品本身颜色的干扰，需 设置加了血浆或血清但不加底物的对照。 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③高活性样品：如果样品中含有较高活性的碱性磷酸酶，可以使用原有的裂解液或 PBS 等进行稀释，如鸡血清、血浆可稀释 5～10 倍后检测。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配制标准品工作液：取出 Phen ol 标准(1 m g/ ml)恢复至室温后，取 0.1 ml 溶解于 1.9 ml d d H2 O，使浓度达到 0.05 m g/ ml，即为标准品工作液-Phen ol(0.05 m g/ ml)。按照下表 稀释系列标准品溶液。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414"/>
        <w:gridCol w:w="1018"/>
        <w:gridCol w:w="1018"/>
        <w:gridCol w:w="1018"/>
        <w:gridCol w:w="1018"/>
        <w:gridCol w:w="1018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1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加入物(μ l)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P hen ol(0.05 m g/ ml)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d d H2 O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414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相当于金氏单位(U/L)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18" w:type="dxa"/>
            <w:tcBorders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</w:tbl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ALP 加样：按照下表设置对照孔、标准孔、测定孔，溶液应按照顺序依次加入，并注意 避免产生气泡。如果样品中的碱性磷酸酶活性过高，可以减少样品用量或适当稀释后再 进行测定，样品的检测最好能设置平行孔。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86"/>
        <w:gridCol w:w="1855"/>
        <w:gridCol w:w="175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加入物(μ l)</w:t>
            </w:r>
          </w:p>
        </w:tc>
        <w:tc>
          <w:tcPr>
            <w:tcW w:w="1855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对照孔</w:t>
            </w:r>
          </w:p>
        </w:tc>
        <w:tc>
          <w:tcPr>
            <w:tcW w:w="1759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标准孔</w:t>
            </w:r>
          </w:p>
        </w:tc>
        <w:tc>
          <w:tcPr>
            <w:tcW w:w="1622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测定孔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P hen ol 标准(1～5 号)</w:t>
            </w:r>
          </w:p>
        </w:tc>
        <w:tc>
          <w:tcPr>
            <w:tcW w:w="1855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59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622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待测样品</w:t>
            </w:r>
          </w:p>
        </w:tc>
        <w:tc>
          <w:tcPr>
            <w:tcW w:w="1855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759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22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AL P Assay buffer</w:t>
            </w:r>
          </w:p>
        </w:tc>
        <w:tc>
          <w:tcPr>
            <w:tcW w:w="1855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59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2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37℃水浴中孵育 5 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AL P 显色液(37℃提前温育)</w:t>
            </w:r>
          </w:p>
        </w:tc>
        <w:tc>
          <w:tcPr>
            <w:tcW w:w="1855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759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622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立即混匀，37℃水浴中准确孵育 15 min。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显色基液</w:t>
            </w:r>
          </w:p>
        </w:tc>
        <w:tc>
          <w:tcPr>
            <w:tcW w:w="1855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759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622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28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待测样品</w:t>
            </w:r>
          </w:p>
        </w:tc>
        <w:tc>
          <w:tcPr>
            <w:tcW w:w="1855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759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1622" w:type="dxa"/>
          </w:tcPr>
          <w:p>
            <w:pPr>
              <w:widowControl w:val="0"/>
              <w:numPr>
                <w:numId w:val="0"/>
              </w:num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</w:tr>
    </w:tbl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ALP 测定：0 号孔(dd H2 O)调零，酶标仪测定对照孔、标准孔、测定孔 510n m 吸光度(即 为 A 对照、A 标准、A 测定)。</w:t>
      </w:r>
    </w:p>
    <w:p>
      <w:pPr>
        <w:widowControl w:val="0"/>
        <w:numPr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计算：</w:t>
      </w:r>
      <w:r>
        <w:rPr>
          <w:rFonts w:ascii="宋体" w:hAnsi="宋体" w:eastAsia="宋体" w:cs="宋体"/>
          <w:sz w:val="24"/>
          <w:szCs w:val="24"/>
        </w:rPr>
        <w:t>碱性磷酸酶金氏活性单位的定义：在 37℃条件下，100 ml 待测样品与显色底物(即 AL P 显色液所含物质)作用 15 min，产生 1 m g 酚为一个金氏单位。</w:t>
      </w:r>
    </w:p>
    <w:p>
      <w:pPr>
        <w:widowControl w:val="0"/>
        <w:numPr>
          <w:numId w:val="0"/>
        </w:numPr>
        <w:ind w:leftChars="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ind w:lef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以系列 Phenol 标准(1～5 号)对应的金氏单位(10、20、30、40、50 U/L)为横坐标， 以相应的 A 标准(1～5 号)为纵坐标，绘制标准曲线。以 A 测定-A 对照的差值为实际的吸光度， 用该差值与标准曲线进行对比，求出酶活力单位。</w:t>
      </w:r>
    </w:p>
    <w:p>
      <w:pPr>
        <w:widowControl w:val="0"/>
        <w:numPr>
          <w:numId w:val="0"/>
        </w:numPr>
        <w:ind w:lef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ind w:lef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ind w:leftChars="0" w:firstLine="480" w:firstLineChars="200"/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jc w:val="both"/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参考区间</w:t>
      </w:r>
      <w:r>
        <w:rPr>
          <w:rFonts w:ascii="宋体" w:hAnsi="宋体" w:eastAsia="宋体" w:cs="宋体"/>
          <w:sz w:val="24"/>
          <w:szCs w:val="24"/>
        </w:rPr>
        <w:t>(37℃)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：</w:t>
      </w:r>
    </w:p>
    <w:tbl>
      <w:tblPr>
        <w:tblStyle w:val="7"/>
        <w:tblW w:w="0" w:type="auto"/>
        <w:tblInd w:w="1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5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健康成年人</w:t>
            </w:r>
          </w:p>
        </w:tc>
        <w:tc>
          <w:tcPr>
            <w:tcW w:w="2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3～13 金氏单位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5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健康儿童</w:t>
            </w:r>
          </w:p>
        </w:tc>
        <w:tc>
          <w:tcPr>
            <w:tcW w:w="2966" w:type="dxa"/>
          </w:tcPr>
          <w:p>
            <w:pPr>
              <w:widowControl w:val="0"/>
              <w:numPr>
                <w:numId w:val="0"/>
              </w:num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5～28 金氏单位</w:t>
            </w:r>
          </w:p>
        </w:tc>
      </w:tr>
    </w:tbl>
    <w:p>
      <w:pPr>
        <w:widowControl w:val="0"/>
        <w:numPr>
          <w:numId w:val="0"/>
        </w:numPr>
        <w:jc w:val="both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注意事项：</w:t>
      </w:r>
    </w:p>
    <w:p>
      <w:pPr>
        <w:widowControl w:val="0"/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待测样品中不能含有磷酸酶抑制剂，同时需避免反复冻融。</w:t>
      </w:r>
    </w:p>
    <w:p>
      <w:pPr>
        <w:widowControl w:val="0"/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如果没有酶标仪，也可以使用分光光度计测定，但应注意 96 孔板最大检测体积。 </w:t>
      </w:r>
    </w:p>
    <w:p>
      <w:pPr>
        <w:widowControl w:val="0"/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所测样品的值高于标准曲线的上限，应稀释样品后重新测定。 </w:t>
      </w:r>
    </w:p>
    <w:p>
      <w:pPr>
        <w:widowControl w:val="0"/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空白孔如果显红色，说明 ALP 显色液不可用，应丢弃。 </w:t>
      </w:r>
    </w:p>
    <w:p>
      <w:pPr>
        <w:widowControl w:val="0"/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加入显色基液时应迅速，并且及时混匀，否则显色不充分。 </w:t>
      </w:r>
    </w:p>
    <w:p>
      <w:pPr>
        <w:widowControl w:val="0"/>
        <w:numPr>
          <w:ilvl w:val="0"/>
          <w:numId w:val="3"/>
        </w:numPr>
        <w:ind w:left="120" w:leftChars="0" w:firstLine="0" w:firstLine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如无法检测 510n m，亦可检测 500～530n m 范围内吸光度。 </w:t>
      </w:r>
    </w:p>
    <w:p>
      <w:pPr>
        <w:widowControl w:val="0"/>
        <w:numPr>
          <w:numId w:val="0"/>
        </w:numPr>
        <w:ind w:left="120" w:leftChars="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7、为了您的安全和健康，请穿实验服并戴一次性手套操作。 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z w:val="24"/>
          <w:szCs w:val="24"/>
        </w:rPr>
      </w:pPr>
    </w:p>
    <w:p>
      <w:pPr>
        <w:widowControl w:val="0"/>
        <w:numPr>
          <w:numId w:val="0"/>
        </w:numPr>
        <w:jc w:val="both"/>
        <w:rPr>
          <w:rFonts w:hint="default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ascii="宋体" w:hAnsi="宋体" w:eastAsia="宋体" w:cs="宋体"/>
          <w:sz w:val="24"/>
          <w:szCs w:val="24"/>
        </w:rPr>
        <w:t>有效期：6 个月有效。4℃运输，4℃保存。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rFonts w:hint="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3324225</wp:posOffset>
          </wp:positionH>
          <wp:positionV relativeFrom="paragraph">
            <wp:posOffset>-176530</wp:posOffset>
          </wp:positionV>
          <wp:extent cx="1844675" cy="963930"/>
          <wp:effectExtent l="0" t="0" r="3175" b="7620"/>
          <wp:wrapTight wrapText="bothSides">
            <wp:wrapPolygon>
              <wp:start x="14276" y="0"/>
              <wp:lineTo x="11822" y="2134"/>
              <wp:lineTo x="14722" y="6830"/>
              <wp:lineTo x="1785" y="8111"/>
              <wp:lineTo x="0" y="8964"/>
              <wp:lineTo x="0" y="14514"/>
              <wp:lineTo x="20522" y="20490"/>
              <wp:lineTo x="20968" y="21344"/>
              <wp:lineTo x="21414" y="21344"/>
              <wp:lineTo x="21414" y="17075"/>
              <wp:lineTo x="20522" y="13660"/>
              <wp:lineTo x="19853" y="6403"/>
              <wp:lineTo x="18291" y="2561"/>
              <wp:lineTo x="16953" y="0"/>
              <wp:lineTo x="14276" y="0"/>
            </wp:wrapPolygon>
          </wp:wrapTight>
          <wp:docPr id="1" name="图片 1" descr="透明底amek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透明底ameko标志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467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上海联硕生物科技有限公司</w:t>
    </w:r>
    <w:r>
      <w:rPr>
        <w:rFonts w:hint="eastAsia"/>
        <w:lang w:val="en-US" w:eastAsia="zh-CN"/>
      </w:rPr>
      <w:t xml:space="preserve">  </w:t>
    </w:r>
  </w:p>
  <w:p>
    <w:pPr>
      <w:pStyle w:val="5"/>
      <w:rPr>
        <w:rFonts w:hint="eastAsia"/>
        <w:lang w:val="en-US" w:eastAsia="zh-CN"/>
      </w:rPr>
    </w:pPr>
    <w:r>
      <w:rPr>
        <w:rFonts w:hint="eastAsia"/>
        <w:lang w:val="en-US" w:eastAsia="zh-CN"/>
      </w:rPr>
      <w:t>网址：</w:t>
    </w:r>
    <w:r>
      <w:rPr>
        <w:rFonts w:hint="eastAsia"/>
        <w:lang w:val="en-US" w:eastAsia="zh-CN"/>
      </w:rPr>
      <w:fldChar w:fldCharType="begin"/>
    </w:r>
    <w:r>
      <w:rPr>
        <w:rFonts w:hint="eastAsia"/>
        <w:lang w:val="en-US" w:eastAsia="zh-CN"/>
      </w:rPr>
      <w:instrText xml:space="preserve"> HYPERLINK "http://www.biolianshuo.com" </w:instrText>
    </w:r>
    <w:r>
      <w:rPr>
        <w:rFonts w:hint="eastAsia"/>
        <w:lang w:val="en-US" w:eastAsia="zh-CN"/>
      </w:rPr>
      <w:fldChar w:fldCharType="separate"/>
    </w:r>
    <w:r>
      <w:rPr>
        <w:rStyle w:val="9"/>
        <w:rFonts w:hint="eastAsia"/>
        <w:lang w:val="en-US" w:eastAsia="zh-CN"/>
      </w:rPr>
      <w:t>www.biolianshuo.com</w:t>
    </w:r>
    <w:r>
      <w:rPr>
        <w:rFonts w:hint="eastAsia"/>
        <w:lang w:val="en-US" w:eastAsia="zh-CN"/>
      </w:rPr>
      <w:fldChar w:fldCharType="end"/>
    </w:r>
  </w:p>
  <w:p>
    <w:pPr>
      <w:pStyle w:val="5"/>
      <w:rPr>
        <w:rFonts w:hint="eastAsia" w:eastAsiaTheme="minorEastAsia"/>
        <w:lang w:eastAsia="zh-CN"/>
      </w:rPr>
    </w:pPr>
    <w:r>
      <w:rPr>
        <w:rFonts w:hint="eastAsia"/>
        <w:lang w:val="en-US" w:eastAsia="zh-CN"/>
      </w:rPr>
      <w:t xml:space="preserve">电话：400-0918-500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AAF08"/>
    <w:multiLevelType w:val="singleLevel"/>
    <w:tmpl w:val="C8CAAF08"/>
    <w:lvl w:ilvl="0" w:tentative="0">
      <w:start w:val="1"/>
      <w:numFmt w:val="decimal"/>
      <w:suff w:val="nothing"/>
      <w:lvlText w:val="%1、"/>
      <w:lvlJc w:val="left"/>
      <w:pPr>
        <w:ind w:left="120" w:leftChars="0" w:firstLine="0" w:firstLineChars="0"/>
      </w:pPr>
    </w:lvl>
  </w:abstractNum>
  <w:abstractNum w:abstractNumId="1">
    <w:nsid w:val="C92235F1"/>
    <w:multiLevelType w:val="singleLevel"/>
    <w:tmpl w:val="C92235F1"/>
    <w:lvl w:ilvl="0" w:tentative="0">
      <w:start w:val="1"/>
      <w:numFmt w:val="decimal"/>
      <w:suff w:val="space"/>
      <w:lvlText w:val="%1、"/>
      <w:lvlJc w:val="left"/>
      <w:pPr>
        <w:ind w:left="120" w:leftChars="0" w:firstLine="0" w:firstLineChars="0"/>
      </w:pPr>
    </w:lvl>
  </w:abstractNum>
  <w:abstractNum w:abstractNumId="2">
    <w:nsid w:val="5C678962"/>
    <w:multiLevelType w:val="singleLevel"/>
    <w:tmpl w:val="5C67896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F02B3"/>
    <w:rsid w:val="02667C82"/>
    <w:rsid w:val="03280E4A"/>
    <w:rsid w:val="0424500B"/>
    <w:rsid w:val="047F6784"/>
    <w:rsid w:val="05423E6B"/>
    <w:rsid w:val="06443F8F"/>
    <w:rsid w:val="077B5559"/>
    <w:rsid w:val="09C16958"/>
    <w:rsid w:val="0B5C0142"/>
    <w:rsid w:val="0BF72175"/>
    <w:rsid w:val="0D851AD1"/>
    <w:rsid w:val="10154A75"/>
    <w:rsid w:val="10782F98"/>
    <w:rsid w:val="10D75FDB"/>
    <w:rsid w:val="10DB351F"/>
    <w:rsid w:val="12DD4EA3"/>
    <w:rsid w:val="17006472"/>
    <w:rsid w:val="19A24F27"/>
    <w:rsid w:val="1E304318"/>
    <w:rsid w:val="1EBE7523"/>
    <w:rsid w:val="21451277"/>
    <w:rsid w:val="23CB5A90"/>
    <w:rsid w:val="24D5514D"/>
    <w:rsid w:val="254814BB"/>
    <w:rsid w:val="25843A46"/>
    <w:rsid w:val="262E5EB0"/>
    <w:rsid w:val="26C10671"/>
    <w:rsid w:val="29EA37DB"/>
    <w:rsid w:val="2BF41B2D"/>
    <w:rsid w:val="2E781D58"/>
    <w:rsid w:val="2EA40681"/>
    <w:rsid w:val="2F3A3FCC"/>
    <w:rsid w:val="30D079ED"/>
    <w:rsid w:val="30E37952"/>
    <w:rsid w:val="30F657C8"/>
    <w:rsid w:val="31394A7A"/>
    <w:rsid w:val="316977D6"/>
    <w:rsid w:val="31BC3C80"/>
    <w:rsid w:val="32866F27"/>
    <w:rsid w:val="341D3309"/>
    <w:rsid w:val="360458D6"/>
    <w:rsid w:val="388B1E36"/>
    <w:rsid w:val="38B973A5"/>
    <w:rsid w:val="391D1527"/>
    <w:rsid w:val="3A784096"/>
    <w:rsid w:val="3B990213"/>
    <w:rsid w:val="3D626A4F"/>
    <w:rsid w:val="3E19774E"/>
    <w:rsid w:val="3FA153B8"/>
    <w:rsid w:val="422246BE"/>
    <w:rsid w:val="42575A85"/>
    <w:rsid w:val="425E3375"/>
    <w:rsid w:val="42C152CC"/>
    <w:rsid w:val="45DF4BB6"/>
    <w:rsid w:val="46961769"/>
    <w:rsid w:val="477B0175"/>
    <w:rsid w:val="47F43359"/>
    <w:rsid w:val="484B3FBA"/>
    <w:rsid w:val="488862BB"/>
    <w:rsid w:val="494C26AA"/>
    <w:rsid w:val="4BC10484"/>
    <w:rsid w:val="4C3450A1"/>
    <w:rsid w:val="5194258A"/>
    <w:rsid w:val="52FD4FFB"/>
    <w:rsid w:val="551F55CE"/>
    <w:rsid w:val="561A7789"/>
    <w:rsid w:val="565C4610"/>
    <w:rsid w:val="56F87FA8"/>
    <w:rsid w:val="578C4C26"/>
    <w:rsid w:val="591671FE"/>
    <w:rsid w:val="59AC6052"/>
    <w:rsid w:val="5CC809CF"/>
    <w:rsid w:val="5DAE1FC7"/>
    <w:rsid w:val="60427CA5"/>
    <w:rsid w:val="60860DE8"/>
    <w:rsid w:val="621250F2"/>
    <w:rsid w:val="62491C2A"/>
    <w:rsid w:val="666B1ACF"/>
    <w:rsid w:val="67EF5EC2"/>
    <w:rsid w:val="680769BC"/>
    <w:rsid w:val="69566324"/>
    <w:rsid w:val="6A9A54E1"/>
    <w:rsid w:val="6C153E04"/>
    <w:rsid w:val="6DCA5D9A"/>
    <w:rsid w:val="71601BDC"/>
    <w:rsid w:val="719E0BD3"/>
    <w:rsid w:val="7277575C"/>
    <w:rsid w:val="732660EB"/>
    <w:rsid w:val="7368775B"/>
    <w:rsid w:val="73DE718D"/>
    <w:rsid w:val="745C203E"/>
    <w:rsid w:val="74CD662A"/>
    <w:rsid w:val="75B81165"/>
    <w:rsid w:val="75FE1AF4"/>
    <w:rsid w:val="768B4E30"/>
    <w:rsid w:val="775A090F"/>
    <w:rsid w:val="780A52E6"/>
    <w:rsid w:val="7861139C"/>
    <w:rsid w:val="790F707F"/>
    <w:rsid w:val="7A41611C"/>
    <w:rsid w:val="7CFD4FB5"/>
    <w:rsid w:val="7EC31537"/>
    <w:rsid w:val="7F17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op_dict3_font24"/>
    <w:basedOn w:val="8"/>
    <w:unhideWhenUsed/>
    <w:qFormat/>
    <w:uiPriority w:val="0"/>
    <w:rPr>
      <w:rFonts w:hint="default" w:ascii="Times New Roman"/>
      <w:sz w:val="24"/>
    </w:rPr>
  </w:style>
  <w:style w:type="paragraph" w:customStyle="1" w:styleId="11">
    <w:name w:val="Table Paragraph"/>
    <w:basedOn w:val="1"/>
    <w:qFormat/>
    <w:uiPriority w:val="1"/>
    <w:pPr>
      <w:spacing w:before="75"/>
      <w:ind w:left="156"/>
      <w:jc w:val="center"/>
    </w:pPr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联硕生物郭雪</cp:lastModifiedBy>
  <cp:lastPrinted>2019-01-07T08:40:00Z</cp:lastPrinted>
  <dcterms:modified xsi:type="dcterms:W3CDTF">2021-08-02T03:54:27Z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246A72EB1B354C03BB6D8F43F2E28F45</vt:lpwstr>
  </property>
</Properties>
</file>